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4B" w:rsidRPr="00ED394B" w:rsidRDefault="00ED394B" w:rsidP="00ED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4B">
        <w:rPr>
          <w:rFonts w:ascii="Times New Roman" w:hAnsi="Times New Roman" w:cs="Times New Roman"/>
          <w:b/>
          <w:sz w:val="28"/>
          <w:szCs w:val="28"/>
        </w:rPr>
        <w:t>Прокуратура Мышкинского района напоминает об ответственности за финансирование экстремистской и террористической деятельности.</w:t>
      </w:r>
    </w:p>
    <w:p w:rsidR="007E29F7" w:rsidRDefault="006B3691" w:rsidP="00ED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D394B" w:rsidRPr="00ED394B" w:rsidRDefault="00ED394B" w:rsidP="00ED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ED394B">
        <w:rPr>
          <w:rFonts w:ascii="Times New Roman" w:hAnsi="Times New Roman" w:cs="Times New Roman"/>
          <w:sz w:val="28"/>
          <w:szCs w:val="28"/>
          <w:shd w:val="clear" w:color="auto" w:fill="FFFFFF"/>
        </w:rPr>
        <w:t>В Уголовном кодексе Российской Федерации (УК РФ) предусмотрены нормы, устанавливающие уголовную ответственность за содействие экстремистской и террористической деятельности. К формам содействия отнесено финансирование экстремизма и терроризма.</w:t>
      </w:r>
      <w:r w:rsidRPr="00ED394B">
        <w:rPr>
          <w:rFonts w:ascii="Times New Roman" w:hAnsi="Times New Roman" w:cs="Times New Roman"/>
          <w:sz w:val="28"/>
          <w:szCs w:val="28"/>
        </w:rPr>
        <w:br/>
      </w:r>
      <w:r w:rsidRPr="00ED3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ED394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Объективная сторона такого действия выражается как в оказании финансовых услуг, так и в предоставлении или сборе денежных средств (в наличной или безналичной форме), материальных средств (например, предметов обмундирования, экипировки, средств связи, лекарственных препаратов, жилых либо нежилых помещений, транспортных средств) с осознанием того, что они предназначены для финансирования организации, подготовки или совершения хотя бы одного из преступлений экстремистской направленности, а также преступлений террористического характера, в числе которых террористический акт, склонение, вербовка и иное вовлечение в террористическую деятельность, публичные призывы к осуществлению террористической деятельности, публичное оправдание или пропаганда терроризма, прохождение обучения в целях осуществления террористической деятельности, организация террористического сообщества или террористической организации и участие в них и ряд других криминальных деяний.</w:t>
      </w:r>
      <w:r w:rsidRPr="00ED394B">
        <w:rPr>
          <w:rFonts w:ascii="Times New Roman" w:hAnsi="Times New Roman" w:cs="Times New Roman"/>
          <w:sz w:val="28"/>
          <w:szCs w:val="28"/>
        </w:rPr>
        <w:br/>
      </w:r>
      <w:r w:rsidRPr="00ED3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ED394B">
        <w:rPr>
          <w:rFonts w:ascii="Times New Roman" w:hAnsi="Times New Roman" w:cs="Times New Roman"/>
          <w:sz w:val="28"/>
          <w:szCs w:val="28"/>
          <w:shd w:val="clear" w:color="auto" w:fill="FFFFFF"/>
        </w:rPr>
        <w:t>За финансирование экстремистской деятельности ответственность наступает по ч. 1 ст. 2823 УК РФ, при использовании служебного положения – по ч. 2 этой же статьи УК РФ, при этом максимальное наказание составляет до 15 лет лишения свободы.</w:t>
      </w:r>
      <w:r w:rsidRPr="00ED394B">
        <w:rPr>
          <w:rFonts w:ascii="Times New Roman" w:hAnsi="Times New Roman" w:cs="Times New Roman"/>
          <w:sz w:val="28"/>
          <w:szCs w:val="28"/>
        </w:rPr>
        <w:br/>
      </w:r>
      <w:r w:rsidRPr="00ED3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ED394B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Действия, связанные с финансированием терроризма, подлежат квалификации по ч. 11 ст. 2051 УК РФ, при их совершении с использованием служебного положения – по ч. 2 данной статьи УК РФ, пределы санкций ограничены лишением свободы до 20 лет либо пожизненным заключением.</w:t>
      </w:r>
    </w:p>
    <w:p w:rsidR="00ED394B" w:rsidRDefault="00ED394B" w:rsidP="00ED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D77B4"/>
    <w:rsid w:val="00674D74"/>
    <w:rsid w:val="006B3691"/>
    <w:rsid w:val="007E29F7"/>
    <w:rsid w:val="008E7251"/>
    <w:rsid w:val="009A3F8B"/>
    <w:rsid w:val="00C36F31"/>
    <w:rsid w:val="00DA5CA2"/>
    <w:rsid w:val="00E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A8CF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cp:lastPrinted>2023-09-09T15:10:00Z</cp:lastPrinted>
  <dcterms:created xsi:type="dcterms:W3CDTF">2023-09-09T14:09:00Z</dcterms:created>
  <dcterms:modified xsi:type="dcterms:W3CDTF">2024-03-16T11:23:00Z</dcterms:modified>
</cp:coreProperties>
</file>