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F2" w:rsidRPr="001F3FF2" w:rsidRDefault="001F3FF2" w:rsidP="001F3FF2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1F3F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внесении изменений в Гражданский кодекс Российской Федерации</w:t>
      </w:r>
    </w:p>
    <w:bookmarkEnd w:id="0"/>
    <w:p w:rsidR="001F3FF2" w:rsidRDefault="001F3FF2" w:rsidP="001F3FF2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F3FF2" w:rsidRPr="001F3FF2" w:rsidRDefault="001F3FF2" w:rsidP="001F3F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1F3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30.01.2024 № 4-ФЗ внесены изменения в статью 1248 части четвертой Гражданского кодекса Российской Федерации.</w:t>
      </w:r>
    </w:p>
    <w:p w:rsidR="001F3FF2" w:rsidRPr="001F3FF2" w:rsidRDefault="001F3FF2" w:rsidP="001F3F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F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Мышкинского района разъясняет, что в</w:t>
      </w:r>
      <w:r w:rsidRPr="001F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внесенными изменениями в случае рассмотрения спора о защите интеллектуальных прав в административном порядке, расходы стороны спора, связанные с соблюдением такого порядка, подлежат возмещению стороне спора, в чью пользу федеральным органом исполнительной власти принято решение, другой стороной спора.</w:t>
      </w:r>
    </w:p>
    <w:p w:rsidR="001F3FF2" w:rsidRPr="001F3FF2" w:rsidRDefault="001F3FF2" w:rsidP="001F3F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F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Указанные расходы состоят из патентных и иных пошлин, а также издержек, включающих в себя денежные суммы, подлежащие выплате экспертам, специалистам и переводчикам, расходы на оплату в разумных пределах услуг патентных поверенных, адвокатов и иных лиц, оказывающих юридическую помощь (представителей), и другие расходы, понесенные в связи с рассмотрением спора. В случае, если по результатам рассмотрения спора принято решение о частичном удовлетворении требований, расходы подлежат возмещению стороне спора пропорционально объему удовлетворенных требований.</w:t>
      </w:r>
    </w:p>
    <w:p w:rsidR="007E29F7" w:rsidRDefault="001F3FF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F2" w:rsidRDefault="001F3FF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1F3FF2"/>
    <w:rsid w:val="002D77B4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93D8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2024-03-16T12:40:00Z</dcterms:modified>
</cp:coreProperties>
</file>