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81" w:rsidRPr="00BA2D81" w:rsidRDefault="00BA2D81" w:rsidP="00BA2D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A2D81">
        <w:rPr>
          <w:rFonts w:ascii="Times New Roman" w:hAnsi="Times New Roman" w:cs="Times New Roman"/>
          <w:b/>
          <w:bCs/>
          <w:sz w:val="28"/>
          <w:szCs w:val="28"/>
        </w:rPr>
        <w:t>Временно проживающие в жилом помещении лица учитываются при расчете размера платы за коммунальные услуги</w:t>
      </w:r>
      <w:bookmarkEnd w:id="0"/>
    </w:p>
    <w:p w:rsidR="00BA2D81" w:rsidRPr="00BA2D81" w:rsidRDefault="00BA2D81" w:rsidP="00BA2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D81">
        <w:rPr>
          <w:rFonts w:ascii="Times New Roman" w:hAnsi="Times New Roman" w:cs="Times New Roman"/>
          <w:sz w:val="28"/>
          <w:szCs w:val="28"/>
        </w:rPr>
        <w:t xml:space="preserve"> В соответствии с ч. 3 ст. 154 Жилищного кодекса РФ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 </w:t>
      </w:r>
      <w:proofErr w:type="gramStart"/>
      <w:r w:rsidRPr="00BA2D81">
        <w:rPr>
          <w:rFonts w:ascii="Times New Roman" w:hAnsi="Times New Roman" w:cs="Times New Roman"/>
          <w:sz w:val="28"/>
          <w:szCs w:val="28"/>
        </w:rPr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 (ч. 1 ст. 157 Жилищного кодекса РФ).</w:t>
      </w:r>
      <w:proofErr w:type="gramEnd"/>
      <w:r w:rsidRPr="00BA2D81">
        <w:rPr>
          <w:rFonts w:ascii="Times New Roman" w:hAnsi="Times New Roman" w:cs="Times New Roman"/>
          <w:sz w:val="28"/>
          <w:szCs w:val="28"/>
        </w:rPr>
        <w:t xml:space="preserve"> В данном случае при наличии приборов учета количество зарегистрированных и фактически проживающих лиц значение не имеет.</w:t>
      </w:r>
    </w:p>
    <w:p w:rsidR="00BA2D81" w:rsidRPr="00BA2D81" w:rsidRDefault="00BA2D81" w:rsidP="00BA2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2D81">
        <w:rPr>
          <w:rFonts w:ascii="Times New Roman" w:hAnsi="Times New Roman" w:cs="Times New Roman"/>
          <w:sz w:val="28"/>
          <w:szCs w:val="28"/>
        </w:rPr>
        <w:t>Пунктом 56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предусмотрено, что если жилым помещением, не оборудованным индивидуальным и (или) общим (квартирным) прибором учета горячей воды, и (или) холодной воды, и (или) электрической энергии, пользуются временно проживающие потребители, то размер платы за соответствующий вид коммунальной услуги, предоставленной</w:t>
      </w:r>
      <w:proofErr w:type="gramEnd"/>
      <w:r w:rsidRPr="00BA2D81">
        <w:rPr>
          <w:rFonts w:ascii="Times New Roman" w:hAnsi="Times New Roman" w:cs="Times New Roman"/>
          <w:sz w:val="28"/>
          <w:szCs w:val="28"/>
        </w:rPr>
        <w:t xml:space="preserve"> в таком жилом помещении, рассчитывается в соответствии с указанными Правилами исходя из числа постоянно проживающих и временно проживающих в жилом помещении потребителей. При этом в целях расчета платы за соответствующий вид коммунальной услуги потребитель считается временно проживающим в жилом помещении, если он фактически проживает в этом жилом помещении более 5 дней подряд.</w:t>
      </w:r>
    </w:p>
    <w:p w:rsidR="00BA2D81" w:rsidRDefault="00BA2D81" w:rsidP="00BA2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2D81">
        <w:rPr>
          <w:rFonts w:ascii="Times New Roman" w:hAnsi="Times New Roman" w:cs="Times New Roman"/>
          <w:sz w:val="28"/>
          <w:szCs w:val="28"/>
        </w:rPr>
        <w:t>Таким образом, в случае временного проживания более 5 дней подряд норматив потребления коммунальных услуг должен рассчитываться с учетом временно проживающих лиц.</w:t>
      </w:r>
    </w:p>
    <w:p w:rsidR="00BA2D81" w:rsidRPr="00BA2D81" w:rsidRDefault="00BA2D81" w:rsidP="00BA2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190" w:rsidRPr="00BA2D81" w:rsidRDefault="00BE1190" w:rsidP="00BA2D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1190" w:rsidRPr="00BA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93"/>
    <w:rsid w:val="00531B93"/>
    <w:rsid w:val="00BA2D81"/>
    <w:rsid w:val="00B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8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46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10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695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2023-10-22T12:08:00Z</cp:lastPrinted>
  <dcterms:created xsi:type="dcterms:W3CDTF">2023-10-22T12:07:00Z</dcterms:created>
  <dcterms:modified xsi:type="dcterms:W3CDTF">2023-10-22T12:08:00Z</dcterms:modified>
</cp:coreProperties>
</file>