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E" w:rsidRDefault="00261629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107CA7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26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№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37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</w:t>
      </w: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Pr="00FD3FF3">
        <w:rPr>
          <w:b w:val="0"/>
          <w:sz w:val="26"/>
          <w:szCs w:val="26"/>
        </w:rPr>
        <w:t>, решением Муниципального Совета городского поселения Мышки</w:t>
      </w:r>
      <w:r w:rsidR="004C4B60">
        <w:rPr>
          <w:b w:val="0"/>
          <w:sz w:val="26"/>
          <w:szCs w:val="26"/>
        </w:rPr>
        <w:t>н от   10.12.2019</w:t>
      </w:r>
      <w:r w:rsidRPr="00FD3FF3">
        <w:rPr>
          <w:b w:val="0"/>
          <w:sz w:val="26"/>
          <w:szCs w:val="26"/>
        </w:rPr>
        <w:t xml:space="preserve"> № 16 «О бюджете городского поселения Мышкин  на 2020 год и</w:t>
      </w:r>
      <w:proofErr w:type="gramEnd"/>
      <w:r w:rsidRPr="00FD3FF3">
        <w:rPr>
          <w:b w:val="0"/>
          <w:sz w:val="26"/>
          <w:szCs w:val="26"/>
        </w:rPr>
        <w:t xml:space="preserve"> на плановый период 2021 и 2022 годов»,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</w:t>
      </w:r>
      <w:proofErr w:type="gramEnd"/>
      <w:r w:rsidRPr="00FD3FF3">
        <w:rPr>
          <w:b w:val="0"/>
          <w:sz w:val="26"/>
          <w:szCs w:val="26"/>
        </w:rPr>
        <w:t xml:space="preserve">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07CA7">
        <w:rPr>
          <w:rFonts w:ascii="Times New Roman" w:eastAsia="Times New Roman" w:hAnsi="Times New Roman" w:cs="Times New Roman"/>
          <w:sz w:val="26"/>
          <w:szCs w:val="26"/>
        </w:rPr>
        <w:t>26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107CA7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107CA7">
        <w:rPr>
          <w:rFonts w:ascii="Times New Roman" w:eastAsia="Times New Roman" w:hAnsi="Times New Roman" w:cs="Times New Roman"/>
          <w:sz w:val="26"/>
          <w:szCs w:val="26"/>
        </w:rPr>
        <w:t>37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 xml:space="preserve">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68040,03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378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7540,77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678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34120,25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25980,027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8332,29278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455DE9" w:rsidRPr="00455DE9">
              <w:rPr>
                <w:sz w:val="26"/>
                <w:szCs w:val="26"/>
              </w:rPr>
              <w:t>11222,056</w:t>
            </w:r>
            <w:r w:rsidR="00B273CB">
              <w:rPr>
                <w:sz w:val="26"/>
                <w:szCs w:val="26"/>
              </w:rPr>
              <w:t>00</w:t>
            </w:r>
            <w:r w:rsidR="00455DE9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оценки текущего состояния сферы благоустройства городского поселения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На сегодняшний день дворовые и общественные территории потеряли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эстетический вид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в качестве приоритетного направления деятельности в сфере благоустройства на период 2018-2020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Принятие муниципальной программы «Формирование современной городской среды» на территории городского поселения Мышкин 2018-2020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управленческие риски, связанные с неэффективным управлением реализацией Программы и недостаточным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контролем за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.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(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п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>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дворовых территорий на 2018 год формируется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объектов, подлежащих благоустройству в следующем финансовом году, формируется с учетом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результатов реализации мероприятий Программы предшествующего финансового года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Адресный перечень общественных территорий формируется </w:t>
      </w:r>
      <w:proofErr w:type="gramStart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</w:t>
      </w:r>
      <w:proofErr w:type="gramStart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ь(</w:t>
      </w:r>
      <w:proofErr w:type="gramEnd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2018 год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</w:t>
            </w:r>
            <w:proofErr w:type="gramStart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gramEnd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FD3FF3">
        <w:rPr>
          <w:sz w:val="26"/>
          <w:szCs w:val="26"/>
        </w:rPr>
        <w:t>горожан</w:t>
      </w:r>
      <w:proofErr w:type="gramEnd"/>
      <w:r w:rsidRPr="00FD3FF3">
        <w:rPr>
          <w:sz w:val="26"/>
          <w:szCs w:val="26"/>
        </w:rPr>
        <w:t xml:space="preserve">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FD3FF3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FD3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8" w:colLast="8"/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53,815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19</w:t>
            </w:r>
            <w:r w:rsidR="009E4411" w:rsidRPr="003E24D4">
              <w:rPr>
                <w:rFonts w:ascii="Times New Roman" w:hAnsi="Times New Roman" w:cs="Times New Roman"/>
              </w:rPr>
              <w:t>12,281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1291,564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8464,502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</w:t>
            </w:r>
            <w:proofErr w:type="gram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285,665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1781,6345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255,087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2207,969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6122,088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17515,525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bookmarkEnd w:id="0"/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300</w:t>
            </w:r>
            <w:r w:rsidR="00BD05BC"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300</w:t>
            </w:r>
            <w:r w:rsidR="00BD05BC"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11222,056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68040,03378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11222,056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68040,03378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11276,925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1416</w:t>
            </w:r>
            <w:r w:rsidR="00BF1082" w:rsidRPr="00546131">
              <w:rPr>
                <w:rFonts w:ascii="Times New Roman" w:hAnsi="Times New Roman" w:cs="Times New Roman"/>
                <w:b/>
              </w:rPr>
              <w:t>,</w:t>
            </w:r>
            <w:r w:rsidRPr="00546131">
              <w:rPr>
                <w:rFonts w:ascii="Times New Roman" w:hAnsi="Times New Roman" w:cs="Times New Roman"/>
                <w:b/>
              </w:rPr>
              <w:t>216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1912,281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53,815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8464,502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1291,564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21864,10850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83315E" w:rsidRPr="00546131" w:rsidRDefault="00EE183C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6</w:t>
            </w:r>
            <w:r w:rsidR="00C80927" w:rsidRPr="00546131">
              <w:rPr>
                <w:rFonts w:ascii="Times New Roman" w:hAnsi="Times New Roman" w:cs="Times New Roman"/>
                <w:b/>
              </w:rPr>
              <w:t>805,840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1781,63450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691C9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285,665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2207,969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255,087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17515,525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6122,088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60692B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300</w:t>
            </w:r>
            <w:r w:rsidR="00414354"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3000,000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60692B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300</w:t>
            </w:r>
            <w:r w:rsidR="00414354"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68040,03378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11222,056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7540,77678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3356,502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34120,250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308,902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25980,027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7413,652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принимают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могут принимать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6.   Представитель заинтересованных лиц обязан рассмотреть представленный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 ср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A642D5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53,815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5F47B2" w:rsidP="00A6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42D5" w:rsidRPr="00265D37">
              <w:rPr>
                <w:rFonts w:ascii="Times New Roman" w:hAnsi="Times New Roman" w:cs="Times New Roman"/>
                <w:sz w:val="26"/>
                <w:szCs w:val="26"/>
              </w:rPr>
              <w:t>291,564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1416,216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1912,281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8464,502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AC14E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11276,92528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а-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0D402A" w:rsidP="00E02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8,028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188,428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4522,264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02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E3E1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4958,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Солнечная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3F1C4D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3581,63450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32207,969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17515,525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D536B4" w:rsidP="006D0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53664,10850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5E"/>
    <w:rsid w:val="000201AB"/>
    <w:rsid w:val="00022121"/>
    <w:rsid w:val="000258FE"/>
    <w:rsid w:val="00030329"/>
    <w:rsid w:val="000565E0"/>
    <w:rsid w:val="00080660"/>
    <w:rsid w:val="000A173C"/>
    <w:rsid w:val="000A2446"/>
    <w:rsid w:val="000A6FC7"/>
    <w:rsid w:val="000C4A5C"/>
    <w:rsid w:val="000D402A"/>
    <w:rsid w:val="000D7CEB"/>
    <w:rsid w:val="000F38CC"/>
    <w:rsid w:val="00107CA7"/>
    <w:rsid w:val="001507E5"/>
    <w:rsid w:val="0015669A"/>
    <w:rsid w:val="00176DA5"/>
    <w:rsid w:val="00181551"/>
    <w:rsid w:val="001C52FC"/>
    <w:rsid w:val="001D3B91"/>
    <w:rsid w:val="002041F8"/>
    <w:rsid w:val="00213073"/>
    <w:rsid w:val="00222BCA"/>
    <w:rsid w:val="00231725"/>
    <w:rsid w:val="00261629"/>
    <w:rsid w:val="002618C9"/>
    <w:rsid w:val="00265D37"/>
    <w:rsid w:val="002A3180"/>
    <w:rsid w:val="002E65BF"/>
    <w:rsid w:val="002E71B8"/>
    <w:rsid w:val="002E730E"/>
    <w:rsid w:val="002E7C6D"/>
    <w:rsid w:val="00314504"/>
    <w:rsid w:val="0031508B"/>
    <w:rsid w:val="0032414C"/>
    <w:rsid w:val="003458DE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40D25"/>
    <w:rsid w:val="00455DE9"/>
    <w:rsid w:val="00461F79"/>
    <w:rsid w:val="004A30F4"/>
    <w:rsid w:val="004C4B60"/>
    <w:rsid w:val="004E3E13"/>
    <w:rsid w:val="004E5608"/>
    <w:rsid w:val="004F0C3F"/>
    <w:rsid w:val="004F7044"/>
    <w:rsid w:val="00546131"/>
    <w:rsid w:val="00567563"/>
    <w:rsid w:val="00567A6D"/>
    <w:rsid w:val="005A0692"/>
    <w:rsid w:val="005B44C3"/>
    <w:rsid w:val="005E5831"/>
    <w:rsid w:val="005F0095"/>
    <w:rsid w:val="005F47B2"/>
    <w:rsid w:val="005F672F"/>
    <w:rsid w:val="005F7ED8"/>
    <w:rsid w:val="0060692B"/>
    <w:rsid w:val="00621DB7"/>
    <w:rsid w:val="00642AA1"/>
    <w:rsid w:val="00691C9F"/>
    <w:rsid w:val="00693D17"/>
    <w:rsid w:val="006A2F98"/>
    <w:rsid w:val="006B1826"/>
    <w:rsid w:val="006D024B"/>
    <w:rsid w:val="00713E4F"/>
    <w:rsid w:val="00720971"/>
    <w:rsid w:val="00721E65"/>
    <w:rsid w:val="00732171"/>
    <w:rsid w:val="0077000F"/>
    <w:rsid w:val="007E7DEB"/>
    <w:rsid w:val="008131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62F9E"/>
    <w:rsid w:val="0098753B"/>
    <w:rsid w:val="009B4430"/>
    <w:rsid w:val="009E097D"/>
    <w:rsid w:val="009E4411"/>
    <w:rsid w:val="009F62F9"/>
    <w:rsid w:val="00A547D0"/>
    <w:rsid w:val="00A60995"/>
    <w:rsid w:val="00A642D5"/>
    <w:rsid w:val="00AB5321"/>
    <w:rsid w:val="00AC14E0"/>
    <w:rsid w:val="00B013B2"/>
    <w:rsid w:val="00B035C2"/>
    <w:rsid w:val="00B04FDF"/>
    <w:rsid w:val="00B05AA3"/>
    <w:rsid w:val="00B273CB"/>
    <w:rsid w:val="00B61F89"/>
    <w:rsid w:val="00B94EAA"/>
    <w:rsid w:val="00BC4DDB"/>
    <w:rsid w:val="00BD05BC"/>
    <w:rsid w:val="00BF1082"/>
    <w:rsid w:val="00C31455"/>
    <w:rsid w:val="00C35312"/>
    <w:rsid w:val="00C46AD4"/>
    <w:rsid w:val="00C52523"/>
    <w:rsid w:val="00C57969"/>
    <w:rsid w:val="00C73B59"/>
    <w:rsid w:val="00C76630"/>
    <w:rsid w:val="00C80927"/>
    <w:rsid w:val="00C82E55"/>
    <w:rsid w:val="00CB4ACB"/>
    <w:rsid w:val="00CD5EBB"/>
    <w:rsid w:val="00CF03AF"/>
    <w:rsid w:val="00D15B13"/>
    <w:rsid w:val="00D34D23"/>
    <w:rsid w:val="00D4531B"/>
    <w:rsid w:val="00D536B4"/>
    <w:rsid w:val="00D654D7"/>
    <w:rsid w:val="00D808CB"/>
    <w:rsid w:val="00D8507A"/>
    <w:rsid w:val="00D912E0"/>
    <w:rsid w:val="00D93E0F"/>
    <w:rsid w:val="00DA747E"/>
    <w:rsid w:val="00E02F04"/>
    <w:rsid w:val="00E04C7C"/>
    <w:rsid w:val="00E42BBB"/>
    <w:rsid w:val="00EA0F06"/>
    <w:rsid w:val="00EC7181"/>
    <w:rsid w:val="00EE02FA"/>
    <w:rsid w:val="00EE183C"/>
    <w:rsid w:val="00EF5C9B"/>
    <w:rsid w:val="00F03F8B"/>
    <w:rsid w:val="00F34F1E"/>
    <w:rsid w:val="00F67F71"/>
    <w:rsid w:val="00F7730B"/>
    <w:rsid w:val="00FA5619"/>
    <w:rsid w:val="00FC432D"/>
    <w:rsid w:val="00FD3FF3"/>
    <w:rsid w:val="00FE0C3A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D1D8-935B-42B1-928A-DFB06A74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6827</Words>
  <Characters>38914</Characters>
  <Application>Microsoft Office Word</Application>
  <DocSecurity>4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2021-02-26T05:43:00Z</cp:lastPrinted>
  <dcterms:created xsi:type="dcterms:W3CDTF">2021-03-04T07:19:00Z</dcterms:created>
  <dcterms:modified xsi:type="dcterms:W3CDTF">2021-03-04T07:19:00Z</dcterms:modified>
</cp:coreProperties>
</file>