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F1" w:rsidRDefault="001242F1" w:rsidP="001242F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2F1" w:rsidRDefault="001242F1" w:rsidP="0081490A">
      <w:pPr>
        <w:spacing w:before="100" w:beforeAutospacing="1" w:after="100" w:afterAutospacing="1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024C" w:rsidRPr="0081490A" w:rsidRDefault="0011393B" w:rsidP="0081490A">
      <w:pPr>
        <w:spacing w:before="100" w:beforeAutospacing="1" w:after="100" w:afterAutospacing="1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России</w:t>
      </w:r>
      <w:r w:rsidR="0081490A"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660F1"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упрощается порядок проведения комплексных кадастровых работ</w:t>
      </w:r>
    </w:p>
    <w:p w:rsidR="00382D54" w:rsidRDefault="00382D54" w:rsidP="0081490A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Россияне могут узаконить земли, используемые более 15 лет </w:t>
      </w:r>
    </w:p>
    <w:p w:rsidR="0081490A" w:rsidRDefault="0081490A" w:rsidP="00AF7819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 сентября всту</w:t>
      </w:r>
      <w:r w:rsidR="0038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пают в силу </w:t>
      </w:r>
      <w:hyperlink r:id="rId6" w:history="1">
        <w:r w:rsidR="00382D54" w:rsidRPr="00382D54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изменения в законы</w:t>
        </w:r>
      </w:hyperlink>
      <w:r w:rsidR="0038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кадастровой деятельности» и «</w:t>
      </w:r>
      <w:r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государст</w:t>
      </w:r>
      <w:r w:rsidR="0038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венной регистрации недвижимости». </w:t>
      </w:r>
      <w:r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Поправки </w:t>
      </w:r>
      <w:r w:rsidR="0038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упростят процедуру</w:t>
      </w:r>
      <w:r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проведения комплексных кадастровых работ</w:t>
      </w:r>
      <w:r w:rsidR="00AF7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490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заказчиками которых выступают</w:t>
      </w:r>
      <w:r w:rsidR="00AF7819" w:rsidRPr="00AF7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</w:t>
      </w:r>
      <w:r w:rsidR="00AF7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ипальные власти</w:t>
      </w:r>
      <w:r w:rsidR="00AF7819" w:rsidRPr="00AF7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Федеральный закон (</w:t>
      </w:r>
      <w:r w:rsidR="00382D54" w:rsidRPr="0038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150-ФЗ от 17.06.2019</w:t>
      </w:r>
      <w:r w:rsidR="0038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="002C692A"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устанавливает порядок уточнения границ земельных участков, фактическая площадь которых не соответствует площади, указанной в Едином государственном реестре недвижимости (ЕГРН). </w:t>
      </w:r>
    </w:p>
    <w:p w:rsidR="00261397" w:rsidRDefault="00261397" w:rsidP="00261397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Сбор и анализ данных в ходе компле</w:t>
      </w:r>
      <w:r w:rsidR="00382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ксных кадастровых работ позволяю</w:t>
      </w:r>
      <w:r w:rsidRPr="0026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выявить и устранить случаи пересечения границ и</w:t>
      </w:r>
      <w:r w:rsidR="00417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A0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определенных </w:t>
      </w:r>
      <w:r w:rsidR="00417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случаях, </w:t>
      </w:r>
      <w:proofErr w:type="spellStart"/>
      <w:r w:rsidR="00417DA7" w:rsidRPr="0026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самозахвата</w:t>
      </w:r>
      <w:proofErr w:type="spellEnd"/>
      <w:r w:rsidR="00382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земель,</w:t>
      </w:r>
      <w:r w:rsidRPr="0026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также реестровые ошибки</w:t>
      </w:r>
      <w:r w:rsidR="00382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Последнее – наиболее распространенная причина</w:t>
      </w:r>
      <w:r w:rsidRPr="0026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 которой садоводы не могут поставить на кадастровый учет личные участки и земли общего пользования в соответствии с законодательством.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мнению специалистов </w:t>
      </w:r>
      <w:r w:rsidRPr="00F27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Федеральной кадастровой палаты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</w:t>
      </w:r>
      <w:r w:rsidRPr="0026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прощение процедуры проведения комплексных кадастровых работ в целом благотворно скажется на положении собственников земельных участков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F7186A" w:rsidRPr="0081490A" w:rsidRDefault="00261397" w:rsidP="0081490A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Так, о</w:t>
      </w:r>
      <w:r w:rsidR="00AF7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дно из положений предоставляет возможность гражданам узаконить 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проведения комплексных кадастровых работ фактически используемые 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земельны</w:t>
      </w:r>
      <w:r w:rsidR="00874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участки</w:t>
      </w:r>
      <w:r w:rsidR="00AF7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если их площадь превышает 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площадь, указанн</w:t>
      </w:r>
      <w:r w:rsidR="005A0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F7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ЕГРН. Важно отметить, что узаконить 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фактически </w:t>
      </w:r>
      <w:r w:rsidR="00AF7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используемые «лишние» метры можно будет 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лишь </w:t>
      </w:r>
      <w:r w:rsidR="00AF7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том случае, если 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участок используется 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этих границах 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более 15 лет, на него нет посягательств со стороны сос</w:t>
      </w:r>
      <w:r w:rsidR="00AF7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едей и претензий органов власти. Кроме того,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площадь такого «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увеличения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должна быть не больше предельного минимального размера участка, установленного местной администрацией, а в случае если такой 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минимальный размер</w:t>
      </w:r>
      <w:r w:rsidR="00CA2E34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установлен – не более</w:t>
      </w:r>
      <w:proofErr w:type="gramStart"/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чем на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10% от площади, указанной в ЕГРН</w:t>
      </w:r>
      <w:r w:rsidR="00F7186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D4EC4" w:rsidRDefault="0097256F" w:rsidP="00261397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2E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FF7F2A" w:rsidRPr="00862E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</w:t>
      </w:r>
      <w:r w:rsidR="00723661" w:rsidRPr="00862E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Ярославцы </w:t>
      </w:r>
      <w:r w:rsidR="00170398" w:rsidRPr="00862E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</w:t>
      </w:r>
      <w:r w:rsidR="00723661" w:rsidRPr="00862E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могут</w:t>
      </w:r>
      <w:r w:rsidR="00FF7F2A" w:rsidRPr="00862E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официально оформить используемые участки, </w:t>
      </w:r>
      <w:r w:rsidR="00170398" w:rsidRPr="00862E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для дальнейшего законного распоряжения ими</w:t>
      </w:r>
      <w:r w:rsidR="00FF7F2A" w:rsidRPr="00862E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  <w:r w:rsidR="00AA72BF" w:rsidRPr="00862E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Если к</w:t>
      </w:r>
      <w:r w:rsidR="00BB740B" w:rsidRPr="00862E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омплексные кадастровые работы</w:t>
      </w:r>
      <w:r w:rsidR="002C5713" w:rsidRPr="00862E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которые будут</w:t>
      </w:r>
      <w:r w:rsidR="007242E6" w:rsidRPr="00862E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2C5713" w:rsidRPr="00862E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проводиться по заказу местных органов власти</w:t>
      </w:r>
      <w:r w:rsidR="00AA72BF" w:rsidRPr="00862E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  <w:r w:rsidR="0021629D" w:rsidRPr="00862E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выявят</w:t>
      </w:r>
      <w:r w:rsidR="007242E6" w:rsidRPr="00862E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что площадь </w:t>
      </w:r>
      <w:r w:rsidR="00762F27" w:rsidRPr="00862E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эксплуатируемого</w:t>
      </w:r>
      <w:r w:rsidR="007242E6" w:rsidRPr="00862E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земельного участка больше, </w:t>
      </w:r>
      <w:r w:rsidR="00AA72BF" w:rsidRPr="00862E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той, что внесена в ЕГРН</w:t>
      </w:r>
      <w:r w:rsidR="0021629D" w:rsidRPr="00862E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то разницу можно будет узаконить.</w:t>
      </w:r>
      <w:r w:rsidR="00FB6A1C" w:rsidRPr="00862E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Однако это не является возможностью бесконтрольно и быстро увеличить площадь </w:t>
      </w:r>
      <w:r w:rsidR="00B90433" w:rsidRPr="00862E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участк</w:t>
      </w:r>
      <w:r w:rsidR="00736398" w:rsidRPr="00862E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</w:t>
      </w:r>
      <w:r w:rsidR="00B90433" w:rsidRPr="00862E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="00B90433" w:rsidRPr="00862E0E">
        <w:rPr>
          <w:i/>
        </w:rPr>
        <w:t xml:space="preserve"> </w:t>
      </w:r>
      <w:r w:rsidR="002D4EC4" w:rsidRPr="00862E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Уточнить</w:t>
      </w:r>
      <w:r w:rsidR="00B90433" w:rsidRPr="00862E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2D4EC4" w:rsidRPr="00862E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границы</w:t>
      </w:r>
      <w:r w:rsidR="00B90433" w:rsidRPr="00862E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2D4EC4" w:rsidRPr="00862E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смогут только те собственники, которые пользовались участком на протяжении</w:t>
      </w:r>
      <w:r w:rsidRPr="00862E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многих лет</w:t>
      </w:r>
      <w:r w:rsidR="002D4EC4" w:rsidRPr="00862E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Pr="00972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– говорит </w:t>
      </w:r>
      <w:r w:rsidRPr="00862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директор Кадастровой палаты  по Ярославской области Татьяна Сухова</w:t>
      </w:r>
      <w:r w:rsidRPr="00972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37602" w:rsidRPr="00261397" w:rsidRDefault="00437602" w:rsidP="00261397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287DD1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омплексные к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адастровые работы</w:t>
      </w:r>
      <w:r w:rsidR="00CD4039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(ККР)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это </w:t>
      </w:r>
      <w:r w:rsidR="00845CEA" w:rsidRPr="00845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кадастровые работы, которые выполняются одновременно в отношении всех расположенных на территории одного кадастрового квартала или территориях нескольки</w:t>
      </w:r>
      <w:r w:rsidR="00845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 смежных кадастровых кварталов </w:t>
      </w:r>
      <w:r w:rsidR="00845CEA" w:rsidRPr="00845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земельных участков</w:t>
      </w:r>
      <w:r w:rsidR="00845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A2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845CEA" w:rsidRPr="00845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даний, сооружений (за исключением линейных объектов), а также объектов незавершенного строительства</w:t>
      </w:r>
      <w:r w:rsidR="00845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Такие работы проводятся </w:t>
      </w:r>
      <w:r w:rsidR="00193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счет бюджета 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заказу органов государственной власти (в Москве, Санкт-Петербурге, Севастополе) или местного самоуправления (в других регионах страны, муниципальных районах, городских округах)</w:t>
      </w:r>
      <w:r w:rsidR="00193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3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87DD1" w:rsidRPr="0081490A" w:rsidRDefault="00261397" w:rsidP="0081490A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Кадастровые работы</w:t>
      </w:r>
      <w:r w:rsidR="00287DD1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проводятся для уточнения границ земельных участков, зданий, сооружений, объектов незавершенного строительства. Кроме того, они нужны для корректного представления земельных участков, на которых расположены </w:t>
      </w:r>
      <w:r w:rsidR="009763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здания, </w:t>
      </w:r>
      <w:r w:rsidR="00287DD1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для исправления реестровых </w:t>
      </w:r>
      <w:r w:rsidR="00287DD1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ошибок. Комплексные кадастровые работы не проводятся в отношении линейных объектов</w:t>
      </w:r>
      <w:r w:rsid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87DD1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37602" w:rsidRPr="0081490A" w:rsidRDefault="00437602" w:rsidP="0081490A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 </w:t>
      </w:r>
      <w:r w:rsid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проведении таких работ 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публикуется в открытых источниках, в том числе на сайтах органов </w:t>
      </w:r>
      <w:proofErr w:type="spellStart"/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госвласти</w:t>
      </w:r>
      <w:proofErr w:type="spellEnd"/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местного самоуправления, в течение 10 дней с</w:t>
      </w:r>
      <w:r w:rsidR="00287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287EAD" w:rsidRPr="00287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дня заключения контракта на выполнение комплексных кадастровых работ</w:t>
      </w:r>
      <w:r w:rsidR="00287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Кроме того, о </w:t>
      </w:r>
      <w:r w:rsid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начале </w:t>
      </w:r>
      <w:r w:rsidR="00A410FF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</w:t>
      </w:r>
      <w:r w:rsid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A410FF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 </w:t>
      </w:r>
      <w:r w:rsidR="00193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конкретном кадастровом квартале</w:t>
      </w:r>
      <w:r w:rsidR="007D7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93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где </w:t>
      </w:r>
      <w:r w:rsidR="007D7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расположен объект,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правообладателя должен известить непосредственный исполнитель работ – кадастровый инженер – по электронной или обычной почте, </w:t>
      </w:r>
      <w:r w:rsidR="00193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наличии этих </w:t>
      </w:r>
      <w:r w:rsidR="00287EAD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</w:t>
      </w:r>
      <w:r w:rsidR="00287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287EAD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реестре недвижимости.</w:t>
      </w:r>
    </w:p>
    <w:p w:rsidR="00B81727" w:rsidRDefault="00261397" w:rsidP="0081490A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отмечает </w:t>
      </w:r>
      <w:r w:rsidR="00D97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директор</w:t>
      </w:r>
      <w:r w:rsidRPr="00261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Кадастровой палаты </w:t>
      </w:r>
      <w:r w:rsidR="00D97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Татьяна Сухова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74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r w:rsidR="00441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81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равообладател</w:t>
      </w:r>
      <w:r w:rsidR="00441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 об</w:t>
      </w:r>
      <w:r w:rsidR="00DE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ъ</w:t>
      </w:r>
      <w:r w:rsidR="00441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ектов недвижимости</w:t>
      </w:r>
      <w:r w:rsidR="00DE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отпадет необходимость проведения кадастровы</w:t>
      </w:r>
      <w:r w:rsidR="00B106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работ за свой счет, поскольку</w:t>
      </w:r>
      <w:r w:rsidR="00174AD2" w:rsidRPr="00174AD2">
        <w:t xml:space="preserve"> </w:t>
      </w:r>
      <w:r w:rsidR="00174AD2" w:rsidRPr="00174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комплексные кадаст</w:t>
      </w:r>
      <w:r w:rsidR="00B106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ровые работ, проводятся </w:t>
      </w:r>
      <w:r w:rsidR="002D6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</w:t>
      </w:r>
      <w:r w:rsidR="00B106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бюджетные средства.</w:t>
      </w:r>
    </w:p>
    <w:p w:rsidR="00B52411" w:rsidRPr="0081490A" w:rsidRDefault="00437602" w:rsidP="00AF7819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Помимо этого, </w:t>
      </w:r>
      <w:r w:rsid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A410FF" w:rsidRP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вступлением в силу 150-ФЗ появляется возможность проведения комплексных кадастровых работ без утвержденного проекта межевания территории, если в соответствии с Градостроительным кодексом Российской Федерации разработка и утверждение такого проекта не требуется.</w:t>
      </w:r>
      <w:r w:rsidR="007D7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A22B8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150-ФЗ, заказчики ККР </w:t>
      </w:r>
      <w:r w:rsidR="007D7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вправе использовать технические паспорта</w:t>
      </w:r>
      <w:r w:rsidR="005A22B8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D71C2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оценочну</w:t>
      </w:r>
      <w:r w:rsidR="007D7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 </w:t>
      </w:r>
      <w:r w:rsidR="005A22B8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ин</w:t>
      </w:r>
      <w:r w:rsidR="007D7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="005A22B8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необходим</w:t>
      </w:r>
      <w:r w:rsidR="007D7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="005A22B8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работе документации</w:t>
      </w:r>
      <w:r w:rsidR="007D7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F1EB2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 мера позволяет исключить до</w:t>
      </w:r>
      <w:r w:rsidR="00AF7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полнительные затраты и сэкономить местный бюджет. </w:t>
      </w:r>
    </w:p>
    <w:p w:rsidR="00AF7819" w:rsidRPr="00D33D36" w:rsidRDefault="00AF7819" w:rsidP="007D71C2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D4023" w:rsidRPr="00AF781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Проведение комплексных кадастровых работ </w:t>
      </w:r>
      <w:r w:rsidR="00B126C8" w:rsidRPr="00B126C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повышает эффективность управления различными территориями в составе </w:t>
      </w:r>
      <w:r w:rsidR="0021083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области.</w:t>
      </w:r>
      <w:r w:rsidR="009D4023" w:rsidRPr="00AF781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41717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Благодаря им </w:t>
      </w:r>
      <w:r w:rsidR="00E04DF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обеспечивается справедливое налогообложение,</w:t>
      </w:r>
      <w:r w:rsidR="00A71EE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C545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значительно сокращается </w:t>
      </w:r>
      <w:r w:rsidR="00A71EE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числ</w:t>
      </w:r>
      <w:r w:rsidR="000E2FD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 земельных споров</w:t>
      </w:r>
      <w:r w:rsidR="00C545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  <w:r w:rsidR="000906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законодательно защищаются</w:t>
      </w:r>
      <w:r w:rsidR="00C545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права собственников</w:t>
      </w:r>
      <w:r w:rsidR="00193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заключила </w:t>
      </w:r>
      <w:r w:rsidR="00B126C8" w:rsidRPr="00D33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Татьяна Сухова</w:t>
      </w:r>
      <w:r w:rsidRPr="00D33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382D54" w:rsidRDefault="00382D54" w:rsidP="00382D54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Напомним, </w:t>
      </w:r>
      <w:hyperlink r:id="rId7" w:history="1">
        <w:r w:rsidRPr="00382D54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Федеральный закон №150-ФЗ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382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Федеральный зак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«О кадастровой деятельности» и Федеральный закон «</w:t>
      </w:r>
      <w:r w:rsidRPr="00382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государст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венной регистрации недвижимости» подписал Президент России Владимир Путин 17 июня 2019 года. Закон вступает в силу</w:t>
      </w:r>
      <w:r w:rsidR="00193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16 сентября,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спустя 90 дней после </w:t>
      </w:r>
      <w:r w:rsidRPr="00382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официального опубликования</w:t>
      </w:r>
      <w:r w:rsidR="00193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1242F1" w:rsidRPr="00382D54" w:rsidRDefault="001242F1" w:rsidP="00382D54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42F1" w:rsidRPr="00CF505F" w:rsidRDefault="001242F1" w:rsidP="001242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2F1" w:rsidRPr="00CF505F" w:rsidRDefault="001242F1" w:rsidP="001242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505F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242F1" w:rsidRDefault="000E0BF3" w:rsidP="001242F1">
      <w:pPr>
        <w:pStyle w:val="a4"/>
        <w:jc w:val="both"/>
        <w:rPr>
          <w:color w:val="000000"/>
          <w:sz w:val="28"/>
          <w:szCs w:val="28"/>
        </w:rPr>
      </w:pPr>
      <w:hyperlink r:id="rId8" w:history="1">
        <w:r w:rsidR="001242F1">
          <w:rPr>
            <w:rStyle w:val="a3"/>
            <w:sz w:val="28"/>
            <w:szCs w:val="28"/>
          </w:rPr>
          <w:t>Федеральная кадастровая палата</w:t>
        </w:r>
      </w:hyperlink>
      <w:r w:rsidR="001242F1">
        <w:rPr>
          <w:color w:val="000000"/>
          <w:sz w:val="28"/>
          <w:szCs w:val="28"/>
        </w:rPr>
        <w:t xml:space="preserve"> (ФКП) – оператор Федеральной государственной информационной системы ведения Единого государственного реестра недвижимости (ФГИС ЕГРН). В сентябре 2019 года Кадастровой палатой в пилотном режиме был запущен </w:t>
      </w:r>
      <w:hyperlink r:id="rId9" w:history="1">
        <w:r w:rsidR="001242F1" w:rsidRPr="00AA5BA4">
          <w:rPr>
            <w:rStyle w:val="a3"/>
            <w:sz w:val="28"/>
            <w:szCs w:val="28"/>
          </w:rPr>
          <w:t>сервис по выдаче сведений из ЕГРН</w:t>
        </w:r>
      </w:hyperlink>
      <w:r w:rsidR="001242F1">
        <w:rPr>
          <w:color w:val="000000"/>
          <w:sz w:val="28"/>
          <w:szCs w:val="28"/>
        </w:rPr>
        <w:t xml:space="preserve">, который позволяет получить выписку за несколько минут. </w:t>
      </w:r>
    </w:p>
    <w:p w:rsidR="001242F1" w:rsidRDefault="001242F1" w:rsidP="001242F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Кадастровая палата работает в сфере кадастрового учета, регистрации прав собственности и сделок с недвижимостью, оказывает связанные с этим услуги населению и бизнесу в каждом регионе России. С 2009 года находится в ведении </w:t>
      </w:r>
      <w:proofErr w:type="spellStart"/>
      <w:r>
        <w:rPr>
          <w:color w:val="000000"/>
          <w:sz w:val="28"/>
          <w:szCs w:val="28"/>
        </w:rPr>
        <w:t>Росреестра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1242F1" w:rsidRDefault="001242F1" w:rsidP="001242F1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Федеральная кадастровая палата предоставляет сведения из ЕГРН, принимает заявления о кадастровом учете и (или) регистрации прав, вносит сведения о границах субъектов РФ, муниципальных образований и населенных пунктов, зон с особыми условиями использования территории, объектов культурного наследия и других объектов в ЕГРН. </w:t>
      </w:r>
    </w:p>
    <w:p w:rsidR="001242F1" w:rsidRDefault="001242F1" w:rsidP="001242F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Кадастровой палатой запущен проект по реинжинирингу существующих электронных сервисов предоставления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 для физических и юридических лиц. Также, согласно плану трансформации учреждения, на базе ФКП будет создан Аналитический центр для участников рынка недвижимости и </w:t>
      </w:r>
      <w:proofErr w:type="gramStart"/>
      <w:r>
        <w:rPr>
          <w:sz w:val="28"/>
          <w:szCs w:val="28"/>
        </w:rPr>
        <w:t>бизнес-сообщества</w:t>
      </w:r>
      <w:proofErr w:type="gramEnd"/>
      <w:r>
        <w:rPr>
          <w:sz w:val="28"/>
          <w:szCs w:val="28"/>
        </w:rPr>
        <w:t xml:space="preserve">. </w:t>
      </w:r>
    </w:p>
    <w:p w:rsidR="001242F1" w:rsidRPr="00C26317" w:rsidRDefault="001242F1" w:rsidP="001242F1">
      <w:pPr>
        <w:pStyle w:val="a4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</w:p>
    <w:p w:rsidR="001242F1" w:rsidRPr="002D0349" w:rsidRDefault="001242F1" w:rsidP="001242F1">
      <w:pPr>
        <w:spacing w:after="0" w:line="240" w:lineRule="atLeast"/>
        <w:rPr>
          <w:rFonts w:ascii="Segoe UI" w:eastAsiaTheme="minorEastAsia" w:hAnsi="Segoe UI" w:cs="Segoe UI"/>
          <w:noProof/>
          <w:sz w:val="20"/>
          <w:lang w:eastAsia="ru-RU"/>
        </w:rPr>
      </w:pPr>
      <w:r>
        <w:rPr>
          <w:rFonts w:ascii="Segoe UI" w:eastAsiaTheme="minorEastAsia" w:hAnsi="Segoe UI" w:cs="Segoe UI"/>
          <w:noProof/>
          <w:sz w:val="20"/>
          <w:lang w:eastAsia="ru-RU"/>
        </w:rPr>
        <w:t>К</w:t>
      </w:r>
      <w:r w:rsidRPr="002D0349">
        <w:rPr>
          <w:rFonts w:ascii="Segoe UI" w:eastAsiaTheme="minorEastAsia" w:hAnsi="Segoe UI" w:cs="Segoe UI"/>
          <w:noProof/>
          <w:sz w:val="20"/>
          <w:lang w:eastAsia="ru-RU"/>
        </w:rPr>
        <w:t>адастровая палата</w:t>
      </w:r>
      <w:r>
        <w:rPr>
          <w:rFonts w:ascii="Segoe UI" w:eastAsiaTheme="minorEastAsia" w:hAnsi="Segoe UI" w:cs="Segoe UI"/>
          <w:noProof/>
          <w:sz w:val="20"/>
          <w:lang w:eastAsia="ru-RU"/>
        </w:rPr>
        <w:t xml:space="preserve"> по Ярославской области</w:t>
      </w:r>
    </w:p>
    <w:p w:rsidR="001242F1" w:rsidRDefault="001242F1" w:rsidP="001242F1">
      <w:pPr>
        <w:spacing w:after="0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>
        <w:rPr>
          <w:rFonts w:ascii="Segoe UI" w:eastAsiaTheme="minorEastAsia" w:hAnsi="Segoe UI" w:cs="Segoe UI"/>
          <w:noProof/>
          <w:sz w:val="20"/>
          <w:lang w:eastAsia="ru-RU"/>
        </w:rPr>
        <w:t>Контакты для СМИ:</w:t>
      </w:r>
    </w:p>
    <w:p w:rsidR="001242F1" w:rsidRPr="00F36B31" w:rsidRDefault="001242F1" w:rsidP="001242F1">
      <w:pPr>
        <w:spacing w:after="0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 w:rsidRPr="00F36B31">
        <w:rPr>
          <w:rFonts w:ascii="Segoe UI" w:eastAsiaTheme="minorEastAsia" w:hAnsi="Segoe UI" w:cs="Segoe UI"/>
          <w:noProof/>
          <w:sz w:val="20"/>
          <w:lang w:eastAsia="ru-RU"/>
        </w:rPr>
        <w:t>Малахова Александра Кирилловна</w:t>
      </w:r>
    </w:p>
    <w:p w:rsidR="001242F1" w:rsidRPr="00F36B31" w:rsidRDefault="001242F1" w:rsidP="001242F1">
      <w:pPr>
        <w:spacing w:after="0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 w:rsidRPr="00F36B31">
        <w:rPr>
          <w:rFonts w:ascii="Segoe UI" w:eastAsiaTheme="minorEastAsia" w:hAnsi="Segoe UI" w:cs="Segoe UI"/>
          <w:noProof/>
          <w:sz w:val="20"/>
          <w:lang w:eastAsia="ru-RU"/>
        </w:rPr>
        <w:t>8 (4852) 59-82-00, доб. 23-24</w:t>
      </w:r>
      <w:bookmarkStart w:id="0" w:name="_GoBack"/>
      <w:bookmarkEnd w:id="0"/>
    </w:p>
    <w:p w:rsidR="001242F1" w:rsidRPr="00F36B31" w:rsidRDefault="000E0BF3" w:rsidP="001242F1">
      <w:pPr>
        <w:spacing w:after="0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hyperlink r:id="rId10" w:history="1">
        <w:r w:rsidR="001242F1" w:rsidRPr="00A27669">
          <w:rPr>
            <w:rStyle w:val="a3"/>
            <w:rFonts w:ascii="Segoe UI" w:eastAsiaTheme="minorEastAsia" w:hAnsi="Segoe UI" w:cs="Segoe UI"/>
            <w:noProof/>
            <w:sz w:val="20"/>
            <w:lang w:eastAsia="ru-RU"/>
          </w:rPr>
          <w:t>press@76.kadastr.ru</w:t>
        </w:r>
      </w:hyperlink>
      <w:r w:rsidR="001242F1">
        <w:rPr>
          <w:rFonts w:ascii="Segoe UI" w:eastAsiaTheme="minorEastAsia" w:hAnsi="Segoe UI" w:cs="Segoe UI"/>
          <w:noProof/>
          <w:sz w:val="20"/>
          <w:lang w:eastAsia="ru-RU"/>
        </w:rPr>
        <w:t xml:space="preserve"> </w:t>
      </w:r>
    </w:p>
    <w:p w:rsidR="001242F1" w:rsidRDefault="001242F1" w:rsidP="001242F1">
      <w:pPr>
        <w:spacing w:after="0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 w:rsidRPr="00F36B31">
        <w:rPr>
          <w:rFonts w:ascii="Segoe UI" w:eastAsiaTheme="minorEastAsia" w:hAnsi="Segoe UI" w:cs="Segoe UI"/>
          <w:noProof/>
          <w:sz w:val="20"/>
          <w:lang w:eastAsia="ru-RU"/>
        </w:rPr>
        <w:t>150000, г. Ярославль, ул. Пушкина, д. 14а</w:t>
      </w:r>
    </w:p>
    <w:p w:rsidR="00382D54" w:rsidRPr="007D71C2" w:rsidRDefault="00382D54" w:rsidP="001242F1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382D54" w:rsidRPr="007D71C2" w:rsidSect="000E0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C36AC"/>
    <w:rsid w:val="00062566"/>
    <w:rsid w:val="00090643"/>
    <w:rsid w:val="000C719C"/>
    <w:rsid w:val="000E0BF3"/>
    <w:rsid w:val="000E2FDA"/>
    <w:rsid w:val="001118FB"/>
    <w:rsid w:val="0011393B"/>
    <w:rsid w:val="00117065"/>
    <w:rsid w:val="001242F1"/>
    <w:rsid w:val="00170398"/>
    <w:rsid w:val="00174AD2"/>
    <w:rsid w:val="00193C4E"/>
    <w:rsid w:val="0020024C"/>
    <w:rsid w:val="0021083D"/>
    <w:rsid w:val="0021629D"/>
    <w:rsid w:val="00261397"/>
    <w:rsid w:val="00287DD1"/>
    <w:rsid w:val="00287EAD"/>
    <w:rsid w:val="0029500D"/>
    <w:rsid w:val="002C5713"/>
    <w:rsid w:val="002C692A"/>
    <w:rsid w:val="002D0397"/>
    <w:rsid w:val="002D4EC4"/>
    <w:rsid w:val="002D68A6"/>
    <w:rsid w:val="00372B8C"/>
    <w:rsid w:val="003745ED"/>
    <w:rsid w:val="00382D54"/>
    <w:rsid w:val="003B0DC6"/>
    <w:rsid w:val="003C267C"/>
    <w:rsid w:val="00417176"/>
    <w:rsid w:val="00417DA7"/>
    <w:rsid w:val="00426F28"/>
    <w:rsid w:val="00430F01"/>
    <w:rsid w:val="00432B8F"/>
    <w:rsid w:val="00437451"/>
    <w:rsid w:val="00437602"/>
    <w:rsid w:val="004416CB"/>
    <w:rsid w:val="004660F1"/>
    <w:rsid w:val="00490C32"/>
    <w:rsid w:val="004E0B7D"/>
    <w:rsid w:val="00545189"/>
    <w:rsid w:val="005A0931"/>
    <w:rsid w:val="005A22B8"/>
    <w:rsid w:val="006939DB"/>
    <w:rsid w:val="006A5876"/>
    <w:rsid w:val="006D0593"/>
    <w:rsid w:val="006F1EB2"/>
    <w:rsid w:val="00723661"/>
    <w:rsid w:val="007242E6"/>
    <w:rsid w:val="00736398"/>
    <w:rsid w:val="00737703"/>
    <w:rsid w:val="00762F27"/>
    <w:rsid w:val="007D71C2"/>
    <w:rsid w:val="007E2C67"/>
    <w:rsid w:val="0081490A"/>
    <w:rsid w:val="00845CEA"/>
    <w:rsid w:val="00855030"/>
    <w:rsid w:val="00862E0E"/>
    <w:rsid w:val="00874573"/>
    <w:rsid w:val="009015FD"/>
    <w:rsid w:val="0096665E"/>
    <w:rsid w:val="0097256F"/>
    <w:rsid w:val="00976333"/>
    <w:rsid w:val="009C36AC"/>
    <w:rsid w:val="009D4023"/>
    <w:rsid w:val="009F6362"/>
    <w:rsid w:val="00A31538"/>
    <w:rsid w:val="00A410FF"/>
    <w:rsid w:val="00A71EE8"/>
    <w:rsid w:val="00AA72BF"/>
    <w:rsid w:val="00AC7F62"/>
    <w:rsid w:val="00AD04B1"/>
    <w:rsid w:val="00AF3C9A"/>
    <w:rsid w:val="00AF7819"/>
    <w:rsid w:val="00B106F6"/>
    <w:rsid w:val="00B126C8"/>
    <w:rsid w:val="00B52411"/>
    <w:rsid w:val="00B81727"/>
    <w:rsid w:val="00B90433"/>
    <w:rsid w:val="00BB740B"/>
    <w:rsid w:val="00C54553"/>
    <w:rsid w:val="00CA2E34"/>
    <w:rsid w:val="00CD4039"/>
    <w:rsid w:val="00CD5BCE"/>
    <w:rsid w:val="00D33D36"/>
    <w:rsid w:val="00D460C1"/>
    <w:rsid w:val="00D977BA"/>
    <w:rsid w:val="00DE1393"/>
    <w:rsid w:val="00E04DF4"/>
    <w:rsid w:val="00E47B33"/>
    <w:rsid w:val="00ED30D1"/>
    <w:rsid w:val="00F278BC"/>
    <w:rsid w:val="00F7186A"/>
    <w:rsid w:val="00FA1E48"/>
    <w:rsid w:val="00FB6A1C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F3"/>
  </w:style>
  <w:style w:type="paragraph" w:styleId="1">
    <w:name w:val="heading 1"/>
    <w:basedOn w:val="a"/>
    <w:next w:val="a"/>
    <w:link w:val="10"/>
    <w:uiPriority w:val="9"/>
    <w:qFormat/>
    <w:rsid w:val="00382D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118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4B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D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ds-ui-components-credits-colored">
    <w:name w:val="teads-ui-components-credits-colored"/>
    <w:basedOn w:val="a0"/>
    <w:rsid w:val="00AD04B1"/>
  </w:style>
  <w:style w:type="paragraph" w:styleId="a5">
    <w:name w:val="Balloon Text"/>
    <w:basedOn w:val="a"/>
    <w:link w:val="a6"/>
    <w:uiPriority w:val="99"/>
    <w:semiHidden/>
    <w:unhideWhenUsed/>
    <w:rsid w:val="00200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24C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C692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C692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C692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692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C692A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118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Strong"/>
    <w:basedOn w:val="a0"/>
    <w:uiPriority w:val="22"/>
    <w:qFormat/>
    <w:rsid w:val="00111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82D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2D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118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4B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D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ds-ui-components-credits-colored">
    <w:name w:val="teads-ui-components-credits-colored"/>
    <w:basedOn w:val="a0"/>
    <w:rsid w:val="00AD04B1"/>
  </w:style>
  <w:style w:type="paragraph" w:styleId="a5">
    <w:name w:val="Balloon Text"/>
    <w:basedOn w:val="a"/>
    <w:link w:val="a6"/>
    <w:uiPriority w:val="99"/>
    <w:semiHidden/>
    <w:unhideWhenUsed/>
    <w:rsid w:val="00200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24C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C692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C692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C692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692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C692A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118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Strong"/>
    <w:basedOn w:val="a0"/>
    <w:uiPriority w:val="22"/>
    <w:qFormat/>
    <w:rsid w:val="00111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82D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098">
          <w:marLeft w:val="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31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9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846505">
          <w:marLeft w:val="30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33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5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10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6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7630">
          <w:marLeft w:val="30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64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0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3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42796">
          <w:marLeft w:val="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0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131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4304">
          <w:marLeft w:val="30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16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1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0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4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8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26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26233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989124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8121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7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8638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80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1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80709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6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26894/ad890e68b83c920baeae9bb9fdc9b94feb1af0a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26894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ress@76.kada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v.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25C59-D817-4643-93E3-0272FEAD4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Пользователь</cp:lastModifiedBy>
  <cp:revision>2</cp:revision>
  <cp:lastPrinted>2019-09-12T10:51:00Z</cp:lastPrinted>
  <dcterms:created xsi:type="dcterms:W3CDTF">2019-09-16T09:19:00Z</dcterms:created>
  <dcterms:modified xsi:type="dcterms:W3CDTF">2019-09-16T09:19:00Z</dcterms:modified>
</cp:coreProperties>
</file>